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D8" w:rsidRPr="00E358D8" w:rsidRDefault="00E358D8" w:rsidP="00E358D8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E358D8">
        <w:rPr>
          <w:rFonts w:ascii="Sylfaen" w:hAnsi="Sylfaen"/>
          <w:b/>
          <w:sz w:val="28"/>
          <w:szCs w:val="28"/>
          <w:lang w:val="ka-GE"/>
        </w:rPr>
        <w:t>წითელა საქართველოში 28.02.2018</w:t>
      </w:r>
    </w:p>
    <w:p w:rsidR="00060406" w:rsidRDefault="00060406" w:rsidP="000604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2013-2014 </w:t>
      </w:r>
      <w:r>
        <w:rPr>
          <w:rFonts w:ascii="Sylfaen" w:hAnsi="Sylfaen"/>
          <w:lang w:val="ka-GE"/>
        </w:rPr>
        <w:t>წლების წითელას აფეთქების შემდგომ</w:t>
      </w:r>
      <w:r w:rsidR="000977CC">
        <w:rPr>
          <w:rFonts w:ascii="Sylfaen" w:hAnsi="Sylfaen"/>
          <w:lang w:val="ka-GE"/>
        </w:rPr>
        <w:t xml:space="preserve"> (7872 და 3188 შემთხვევა შესაბამისად. სულ - 11060)</w:t>
      </w:r>
      <w:r>
        <w:rPr>
          <w:rFonts w:ascii="Sylfaen" w:hAnsi="Sylfaen"/>
          <w:lang w:val="ka-GE"/>
        </w:rPr>
        <w:t xml:space="preserve">, 2015 </w:t>
      </w:r>
      <w:r w:rsidR="000977CC">
        <w:rPr>
          <w:rFonts w:ascii="Sylfaen" w:hAnsi="Sylfaen"/>
          <w:lang w:val="ka-GE"/>
        </w:rPr>
        <w:t xml:space="preserve">(431 შემთხვევა) </w:t>
      </w:r>
      <w:r>
        <w:rPr>
          <w:rFonts w:ascii="Sylfaen" w:hAnsi="Sylfaen"/>
          <w:lang w:val="ka-GE"/>
        </w:rPr>
        <w:t xml:space="preserve">და 2016 </w:t>
      </w:r>
      <w:r w:rsidR="000977CC">
        <w:rPr>
          <w:rFonts w:ascii="Sylfaen" w:hAnsi="Sylfaen"/>
          <w:lang w:val="ka-GE"/>
        </w:rPr>
        <w:t xml:space="preserve">(14 შემთხვევა) </w:t>
      </w:r>
      <w:r>
        <w:rPr>
          <w:rFonts w:ascii="Sylfaen" w:hAnsi="Sylfaen"/>
          <w:lang w:val="ka-GE"/>
        </w:rPr>
        <w:t xml:space="preserve">წლებში არსებული წითელას შემთხვევების დრამატული კლების შემდგომ 2017 წლის აგვისტოდან საქართველოში ფიქსირდება წითელას შემთხვევათა მატება. 2017 </w:t>
      </w:r>
      <w:r w:rsidR="00C90CDC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ე</w:t>
      </w:r>
      <w:r w:rsidR="00C90CDC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ს სულ რეგისტრირებულია</w:t>
      </w:r>
      <w:r w:rsidR="00D129DE">
        <w:rPr>
          <w:rFonts w:ascii="Sylfaen" w:hAnsi="Sylfaen"/>
          <w:lang w:val="ka-GE"/>
        </w:rPr>
        <w:t xml:space="preserve"> 97</w:t>
      </w:r>
      <w:r>
        <w:rPr>
          <w:rFonts w:ascii="Sylfaen" w:hAnsi="Sylfaen"/>
          <w:lang w:val="ka-GE"/>
        </w:rPr>
        <w:t xml:space="preserve"> </w:t>
      </w:r>
      <w:r w:rsidR="00940DF7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ემთხვევა</w:t>
      </w:r>
      <w:r w:rsidR="00940DF7">
        <w:rPr>
          <w:rFonts w:ascii="Sylfaen" w:hAnsi="Sylfaen"/>
          <w:lang w:val="ka-GE"/>
        </w:rPr>
        <w:t xml:space="preserve"> (მ.შ.</w:t>
      </w:r>
      <w:r>
        <w:rPr>
          <w:rFonts w:ascii="Sylfaen" w:hAnsi="Sylfaen"/>
          <w:lang w:val="ka-GE"/>
        </w:rPr>
        <w:t xml:space="preserve"> 2 შემოტანილია</w:t>
      </w:r>
      <w:r w:rsidR="00940DF7">
        <w:rPr>
          <w:rFonts w:ascii="Sylfaen" w:hAnsi="Sylfaen"/>
          <w:lang w:val="ka-GE"/>
        </w:rPr>
        <w:t>).</w:t>
      </w:r>
    </w:p>
    <w:p w:rsidR="00940DF7" w:rsidRDefault="00940DF7" w:rsidP="0006040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2017 წელს შემთხვევათა მატება უკავშირდებოდა ლოკალურ აფეთქებებს (გურია, ხულო, ქობულეთი)</w:t>
      </w:r>
      <w:r w:rsidR="00B32ADB">
        <w:rPr>
          <w:rFonts w:ascii="Sylfaen" w:hAnsi="Sylfaen"/>
          <w:lang w:val="ka-GE"/>
        </w:rPr>
        <w:t xml:space="preserve">, რასაც 2018 წელს მოჰყვა დაავადების ფართო გავრცელება </w:t>
      </w:r>
      <w:r w:rsidR="00B32ADB" w:rsidRPr="008F66A8">
        <w:rPr>
          <w:rFonts w:ascii="Sylfaen" w:hAnsi="Sylfaen"/>
          <w:b/>
          <w:lang w:val="ka-GE"/>
        </w:rPr>
        <w:t>აჭარაში,</w:t>
      </w:r>
      <w:r w:rsidR="00B32ADB">
        <w:rPr>
          <w:rFonts w:ascii="Sylfaen" w:hAnsi="Sylfaen"/>
          <w:lang w:val="ka-GE"/>
        </w:rPr>
        <w:t xml:space="preserve"> და ერთეულოვანი მატება </w:t>
      </w:r>
      <w:r w:rsidR="004C1687">
        <w:rPr>
          <w:rFonts w:ascii="Sylfaen" w:hAnsi="Sylfaen"/>
          <w:lang w:val="ka-GE"/>
        </w:rPr>
        <w:t>დანარჩ</w:t>
      </w:r>
      <w:r w:rsidR="00B32ADB">
        <w:rPr>
          <w:rFonts w:ascii="Sylfaen" w:hAnsi="Sylfaen"/>
          <w:lang w:val="ka-GE"/>
        </w:rPr>
        <w:t>ენ რეგიონებში</w:t>
      </w:r>
      <w:r w:rsidR="00C90CDC">
        <w:rPr>
          <w:rFonts w:ascii="Sylfaen" w:hAnsi="Sylfaen"/>
          <w:lang w:val="ka-GE"/>
        </w:rPr>
        <w:t>;</w:t>
      </w:r>
      <w:r w:rsidR="004C1687">
        <w:rPr>
          <w:rFonts w:ascii="Sylfaen" w:hAnsi="Sylfaen"/>
          <w:lang w:val="ka-GE"/>
        </w:rPr>
        <w:t xml:space="preserve"> ბოლო 2 კვირის ტენდენციით</w:t>
      </w:r>
      <w:r w:rsidR="00C90CDC">
        <w:rPr>
          <w:rFonts w:ascii="Sylfaen" w:hAnsi="Sylfaen"/>
          <w:lang w:val="ka-GE"/>
        </w:rPr>
        <w:t>,</w:t>
      </w:r>
      <w:r w:rsidR="004C1687">
        <w:rPr>
          <w:rFonts w:ascii="Sylfaen" w:hAnsi="Sylfaen"/>
          <w:lang w:val="ka-GE"/>
        </w:rPr>
        <w:t xml:space="preserve"> შემთხვევათა მატება განსაკუთრებით მნიშვნელოვანია თბილისში, </w:t>
      </w:r>
      <w:r w:rsidR="004C1687" w:rsidRPr="008F66A8">
        <w:rPr>
          <w:rFonts w:ascii="Sylfaen" w:hAnsi="Sylfaen"/>
          <w:b/>
          <w:lang w:val="ka-GE"/>
        </w:rPr>
        <w:t>სამეგრელოსა</w:t>
      </w:r>
      <w:r w:rsidR="004C1687">
        <w:rPr>
          <w:rFonts w:ascii="Sylfaen" w:hAnsi="Sylfaen"/>
          <w:lang w:val="ka-GE"/>
        </w:rPr>
        <w:t xml:space="preserve"> და </w:t>
      </w:r>
      <w:r w:rsidR="004C1687" w:rsidRPr="008F66A8">
        <w:rPr>
          <w:rFonts w:ascii="Sylfaen" w:hAnsi="Sylfaen"/>
          <w:b/>
          <w:lang w:val="ka-GE"/>
        </w:rPr>
        <w:t>იმერეთში.</w:t>
      </w:r>
    </w:p>
    <w:p w:rsidR="00805787" w:rsidRPr="0056284F" w:rsidRDefault="00805787" w:rsidP="00805787">
      <w:pPr>
        <w:jc w:val="center"/>
        <w:rPr>
          <w:rFonts w:ascii="Sylfaen" w:hAnsi="Sylfaen"/>
          <w:b/>
        </w:rPr>
      </w:pPr>
      <w:r w:rsidRPr="0056284F">
        <w:rPr>
          <w:rFonts w:ascii="Sylfaen" w:hAnsi="Sylfaen"/>
          <w:b/>
          <w:lang w:val="ka-GE"/>
        </w:rPr>
        <w:lastRenderedPageBreak/>
        <w:t>წითელას შემთხვევები რეგიონების მიხედვით, საქართველო, 2017-</w:t>
      </w:r>
      <w:r>
        <w:rPr>
          <w:rFonts w:ascii="Sylfaen" w:hAnsi="Sylfaen"/>
          <w:b/>
          <w:lang w:val="ka-GE"/>
        </w:rPr>
        <w:t>27.02.</w:t>
      </w:r>
      <w:r w:rsidRPr="0056284F">
        <w:rPr>
          <w:rFonts w:ascii="Sylfaen" w:hAnsi="Sylfaen"/>
          <w:b/>
          <w:lang w:val="ka-GE"/>
        </w:rPr>
        <w:t>2018</w:t>
      </w:r>
      <w:r>
        <w:rPr>
          <w:rFonts w:ascii="Sylfaen" w:hAnsi="Sylfaen"/>
          <w:b/>
        </w:rPr>
        <w:t xml:space="preserve"> </w:t>
      </w:r>
      <w:r w:rsidRPr="0056284F">
        <w:rPr>
          <w:rFonts w:ascii="Sylfaen" w:hAnsi="Sylfaen"/>
          <w:b/>
        </w:rPr>
        <w:t xml:space="preserve"> </w:t>
      </w:r>
      <w:r w:rsidRPr="0056284F">
        <w:rPr>
          <w:rFonts w:ascii="Sylfaen" w:hAnsi="Sylfaen"/>
          <w:b/>
          <w:lang w:val="ka-G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05787" w:rsidRPr="00FC555A" w:rsidTr="00003B2A">
        <w:tc>
          <w:tcPr>
            <w:tcW w:w="1869" w:type="dxa"/>
            <w:vMerge w:val="restart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რეგიონი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2017 წელი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2018 წელი (27.02)</w:t>
            </w:r>
          </w:p>
        </w:tc>
      </w:tr>
      <w:tr w:rsidR="00805787" w:rsidRPr="00FC555A" w:rsidTr="00003B2A">
        <w:tc>
          <w:tcPr>
            <w:tcW w:w="1869" w:type="dxa"/>
            <w:vMerge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აბს. შემთხვევა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ინციდენტობა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აბს. შემთხვევა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ინციდენტობა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05787">
              <w:rPr>
                <w:rFonts w:ascii="Sylfaen" w:hAnsi="Sylfaen"/>
                <w:b/>
                <w:lang w:val="ka-GE"/>
              </w:rPr>
              <w:t>აჭარა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05787">
              <w:rPr>
                <w:rFonts w:ascii="Sylfaen" w:hAnsi="Sylfaen"/>
                <w:b/>
                <w:lang w:val="ka-GE"/>
              </w:rPr>
              <w:t>65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05787">
              <w:rPr>
                <w:rFonts w:ascii="Sylfaen" w:hAnsi="Sylfaen"/>
                <w:b/>
                <w:lang w:val="ka-GE"/>
              </w:rPr>
              <w:t>19.17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05787">
              <w:rPr>
                <w:rFonts w:ascii="Sylfaen" w:hAnsi="Sylfaen"/>
                <w:b/>
                <w:lang w:val="en-US"/>
              </w:rPr>
              <w:t>219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05787">
              <w:rPr>
                <w:rFonts w:ascii="Sylfaen" w:hAnsi="Sylfaen"/>
                <w:b/>
                <w:lang w:val="en-US"/>
              </w:rPr>
              <w:t>64.6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გურია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13.34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FC555A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869" w:type="dxa"/>
            <w:shd w:val="clear" w:color="auto" w:fill="auto"/>
          </w:tcPr>
          <w:p w:rsidR="00805787" w:rsidRPr="006D0063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7.1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თბილისი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0.8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FC555A">
              <w:rPr>
                <w:rFonts w:ascii="Sylfaen" w:hAnsi="Sylfaen"/>
                <w:lang w:val="en-US"/>
              </w:rPr>
              <w:t>38</w:t>
            </w:r>
          </w:p>
        </w:tc>
        <w:tc>
          <w:tcPr>
            <w:tcW w:w="1869" w:type="dxa"/>
            <w:shd w:val="clear" w:color="auto" w:fill="auto"/>
          </w:tcPr>
          <w:p w:rsidR="00805787" w:rsidRPr="006D0063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3.4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05787">
              <w:rPr>
                <w:rFonts w:ascii="Sylfaen" w:hAnsi="Sylfaen"/>
                <w:b/>
                <w:lang w:val="ka-GE"/>
              </w:rPr>
              <w:t>სამეგრელო-ზემო სვანეთი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05787"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05787">
              <w:rPr>
                <w:rFonts w:ascii="Sylfaen" w:hAnsi="Sylfaen"/>
                <w:b/>
                <w:lang w:val="ka-GE"/>
              </w:rPr>
              <w:t>0.9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05787">
              <w:rPr>
                <w:rFonts w:ascii="Sylfaen" w:hAnsi="Sylfaen"/>
                <w:b/>
                <w:lang w:val="en-US"/>
              </w:rPr>
              <w:t>35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05787">
              <w:rPr>
                <w:rFonts w:ascii="Sylfaen" w:hAnsi="Sylfaen"/>
                <w:b/>
                <w:lang w:val="en-US"/>
              </w:rPr>
              <w:t>10.6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05787">
              <w:rPr>
                <w:rFonts w:ascii="Sylfaen" w:hAnsi="Sylfaen"/>
                <w:b/>
                <w:lang w:val="ka-GE"/>
              </w:rPr>
              <w:t>იმერეთი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05787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05787">
              <w:rPr>
                <w:rFonts w:ascii="Sylfaen" w:hAnsi="Sylfaen"/>
                <w:b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805787">
              <w:rPr>
                <w:rFonts w:ascii="Sylfaen" w:hAnsi="Sylfaen"/>
                <w:b/>
                <w:lang w:val="ka-GE"/>
              </w:rPr>
              <w:t>18</w:t>
            </w:r>
          </w:p>
        </w:tc>
        <w:tc>
          <w:tcPr>
            <w:tcW w:w="1869" w:type="dxa"/>
            <w:shd w:val="clear" w:color="auto" w:fill="auto"/>
          </w:tcPr>
          <w:p w:rsidR="00805787" w:rsidRPr="00805787" w:rsidRDefault="00805787" w:rsidP="00003B2A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805787">
              <w:rPr>
                <w:rFonts w:ascii="Sylfaen" w:hAnsi="Sylfaen"/>
                <w:b/>
                <w:lang w:val="en-US"/>
              </w:rPr>
              <w:t>3.4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ქვ. ქართლი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0.94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FC555A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2.3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შიდა ქართლი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მცხეთა-მთიანეთი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6.4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კახეთი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0.3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სამცხე-ჯავახეთი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1.8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რაჭა-ლეჩხუმი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შემოტანილი სხვა ქვეყნიდან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FC555A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</w:tr>
      <w:tr w:rsidR="00805787" w:rsidRPr="00FC555A" w:rsidTr="00003B2A"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სულ საქართველო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97</w:t>
            </w:r>
          </w:p>
        </w:tc>
        <w:tc>
          <w:tcPr>
            <w:tcW w:w="1869" w:type="dxa"/>
            <w:shd w:val="clear" w:color="auto" w:fill="auto"/>
          </w:tcPr>
          <w:p w:rsidR="00805787" w:rsidRPr="00FC555A" w:rsidRDefault="00805787" w:rsidP="00003B2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C555A">
              <w:rPr>
                <w:rFonts w:ascii="Sylfaen" w:hAnsi="Sylfaen"/>
                <w:lang w:val="ka-GE"/>
              </w:rPr>
              <w:t>2.57</w:t>
            </w:r>
          </w:p>
        </w:tc>
        <w:tc>
          <w:tcPr>
            <w:tcW w:w="1869" w:type="dxa"/>
            <w:shd w:val="clear" w:color="auto" w:fill="auto"/>
          </w:tcPr>
          <w:p w:rsidR="00805787" w:rsidRPr="006D0063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FC555A">
              <w:rPr>
                <w:rFonts w:ascii="Sylfaen" w:hAnsi="Sylfaen"/>
                <w:lang w:val="ka-GE"/>
              </w:rPr>
              <w:t>338</w:t>
            </w:r>
          </w:p>
        </w:tc>
        <w:tc>
          <w:tcPr>
            <w:tcW w:w="1869" w:type="dxa"/>
            <w:shd w:val="clear" w:color="auto" w:fill="auto"/>
          </w:tcPr>
          <w:p w:rsidR="00805787" w:rsidRPr="007215EB" w:rsidRDefault="00805787" w:rsidP="00003B2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9.09</w:t>
            </w:r>
          </w:p>
        </w:tc>
      </w:tr>
    </w:tbl>
    <w:p w:rsidR="003D2BA3" w:rsidRDefault="003D2BA3" w:rsidP="003D2BA3">
      <w:pPr>
        <w:jc w:val="both"/>
        <w:rPr>
          <w:rFonts w:ascii="Sylfaen" w:hAnsi="Sylfaen"/>
          <w:lang w:val="ka-GE"/>
        </w:rPr>
      </w:pPr>
      <w:r w:rsidRPr="00B279C8">
        <w:rPr>
          <w:rFonts w:ascii="Sylfaen" w:hAnsi="Sylfaen"/>
          <w:i/>
          <w:lang w:val="ka-GE"/>
        </w:rPr>
        <w:t>შენიშვნა: შემთხვევების ნაწილის კვლევა მიმდინარეობს აცრის სტატუტისა და საბოლოო კლასიფიკაციის დადგენის მიზნით; 2017 წლის შემთხვევებიდან  კვლევაშია 4 შემთხვევა</w:t>
      </w:r>
    </w:p>
    <w:p w:rsidR="00805787" w:rsidRDefault="00805787" w:rsidP="00060406">
      <w:pPr>
        <w:jc w:val="both"/>
        <w:rPr>
          <w:rFonts w:ascii="Sylfaen" w:hAnsi="Sylfaen"/>
          <w:lang w:val="ka-GE"/>
        </w:rPr>
      </w:pPr>
    </w:p>
    <w:p w:rsidR="008F66A8" w:rsidRDefault="008F66A8" w:rsidP="008F66A8">
      <w:pPr>
        <w:jc w:val="both"/>
        <w:rPr>
          <w:rFonts w:ascii="Sylfaen" w:hAnsi="Sylfaen"/>
          <w:b/>
          <w:lang w:val="ka-GE"/>
        </w:rPr>
      </w:pPr>
      <w:r w:rsidRPr="00D61507">
        <w:rPr>
          <w:rFonts w:ascii="Sylfaen" w:hAnsi="Sylfaen"/>
          <w:b/>
          <w:lang w:val="ka-GE"/>
        </w:rPr>
        <w:t>ავადობის გავრცელების</w:t>
      </w:r>
      <w:r>
        <w:rPr>
          <w:rFonts w:ascii="Sylfaen" w:hAnsi="Sylfaen"/>
          <w:b/>
          <w:lang w:val="ka-GE"/>
        </w:rPr>
        <w:t xml:space="preserve"> (ინციდენტობა 100 000 მოსახლეზე)</w:t>
      </w:r>
      <w:r w:rsidRPr="00D61507">
        <w:rPr>
          <w:rFonts w:ascii="Sylfaen" w:hAnsi="Sylfaen"/>
          <w:b/>
          <w:lang w:val="ka-GE"/>
        </w:rPr>
        <w:t xml:space="preserve"> თვალსაზრისით, ყველაზე </w:t>
      </w:r>
      <w:r w:rsidRPr="00D61507">
        <w:rPr>
          <w:rFonts w:ascii="Sylfaen" w:hAnsi="Sylfaen"/>
          <w:b/>
          <w:lang w:val="ka-GE"/>
        </w:rPr>
        <w:lastRenderedPageBreak/>
        <w:t xml:space="preserve">დაზარალებულია </w:t>
      </w:r>
      <w:r>
        <w:rPr>
          <w:rFonts w:ascii="Sylfaen" w:hAnsi="Sylfaen"/>
          <w:b/>
          <w:lang w:val="ka-GE"/>
        </w:rPr>
        <w:t>ხუთ</w:t>
      </w:r>
      <w:r w:rsidRPr="00D61507">
        <w:rPr>
          <w:rFonts w:ascii="Sylfaen" w:hAnsi="Sylfaen"/>
          <w:b/>
          <w:lang w:val="ka-GE"/>
        </w:rPr>
        <w:t xml:space="preserve"> წლამდე </w:t>
      </w:r>
      <w:r>
        <w:rPr>
          <w:rFonts w:ascii="Sylfaen" w:hAnsi="Sylfaen"/>
          <w:b/>
          <w:lang w:val="ka-GE"/>
        </w:rPr>
        <w:t xml:space="preserve">ასაკი, სადაც ფიქსირდება </w:t>
      </w:r>
      <w:r w:rsidR="00521621">
        <w:rPr>
          <w:rFonts w:ascii="Sylfaen" w:hAnsi="Sylfaen"/>
          <w:b/>
          <w:lang w:val="ka-GE"/>
        </w:rPr>
        <w:t>შემთხვევათა 37%.</w:t>
      </w:r>
    </w:p>
    <w:p w:rsidR="00521621" w:rsidRDefault="00521621" w:rsidP="008F66A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ასევე მაღალია ავადობა 20-40 წლის ასაკში, სადაც ფიქსირდება შემთხვევათა 38%.</w:t>
      </w:r>
    </w:p>
    <w:p w:rsidR="00E358D8" w:rsidRDefault="00E358D8" w:rsidP="00805787">
      <w:pPr>
        <w:jc w:val="center"/>
        <w:rPr>
          <w:rFonts w:ascii="Sylfaen" w:hAnsi="Sylfaen"/>
          <w:b/>
          <w:lang w:val="ka-GE"/>
        </w:rPr>
      </w:pPr>
    </w:p>
    <w:p w:rsidR="00E358D8" w:rsidRDefault="00E358D8" w:rsidP="00805787">
      <w:pPr>
        <w:jc w:val="center"/>
        <w:rPr>
          <w:rFonts w:ascii="Sylfaen" w:hAnsi="Sylfaen"/>
          <w:b/>
          <w:lang w:val="ka-GE"/>
        </w:rPr>
      </w:pPr>
    </w:p>
    <w:p w:rsidR="00805787" w:rsidRDefault="00805787" w:rsidP="00805787">
      <w:pPr>
        <w:jc w:val="center"/>
        <w:rPr>
          <w:rFonts w:ascii="Sylfaen" w:hAnsi="Sylfaen"/>
          <w:b/>
          <w:lang w:val="ka-GE"/>
        </w:rPr>
      </w:pPr>
      <w:r w:rsidRPr="00D166C8">
        <w:rPr>
          <w:rFonts w:ascii="Sylfaen" w:hAnsi="Sylfaen"/>
          <w:b/>
          <w:lang w:val="ka-GE"/>
        </w:rPr>
        <w:t>წითელას ინციდენტობა ასაკობრივი ჯგუფების მიხედვით,</w:t>
      </w:r>
      <w:r>
        <w:rPr>
          <w:rFonts w:ascii="Sylfaen" w:hAnsi="Sylfaen"/>
          <w:lang w:val="ka-GE"/>
        </w:rPr>
        <w:t xml:space="preserve"> </w:t>
      </w:r>
      <w:r w:rsidRPr="00D166C8">
        <w:rPr>
          <w:rFonts w:ascii="Sylfaen" w:hAnsi="Sylfaen"/>
          <w:b/>
          <w:lang w:val="ka-GE"/>
        </w:rPr>
        <w:t>საქართველო,</w:t>
      </w:r>
    </w:p>
    <w:p w:rsidR="00805787" w:rsidRDefault="00805787" w:rsidP="0080578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en-US"/>
        </w:rPr>
        <w:t>27.02</w:t>
      </w:r>
      <w:r>
        <w:rPr>
          <w:rFonts w:ascii="Sylfaen" w:hAnsi="Sylfaen"/>
          <w:b/>
          <w:lang w:val="ka-GE"/>
        </w:rPr>
        <w:t>.2018</w:t>
      </w:r>
    </w:p>
    <w:p w:rsidR="00805787" w:rsidRDefault="00805787" w:rsidP="00805787">
      <w:pPr>
        <w:rPr>
          <w:rFonts w:ascii="Sylfaen" w:hAnsi="Sylfaen"/>
          <w:lang w:val="ka-GE"/>
        </w:rPr>
      </w:pPr>
      <w:r w:rsidRPr="00FC555A">
        <w:rPr>
          <w:rFonts w:ascii="Sylfaen" w:hAnsi="Sylfaen"/>
          <w:noProof/>
          <w:lang w:val="en-US"/>
        </w:rPr>
        <w:drawing>
          <wp:inline distT="0" distB="0" distL="0" distR="0" wp14:anchorId="36015BE9" wp14:editId="6D2FB968">
            <wp:extent cx="5695950" cy="232410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5546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  <w:gridCol w:w="1134"/>
      </w:tblGrid>
      <w:tr w:rsidR="00805787" w:rsidRPr="00C5002C" w:rsidTr="00003B2A">
        <w:trPr>
          <w:trHeight w:val="93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proofErr w:type="spellStart"/>
            <w:r w:rsidRPr="00C5002C">
              <w:rPr>
                <w:rFonts w:ascii="Sylfaen" w:eastAsia="Times New Roman" w:hAnsi="Sylfaen"/>
                <w:color w:val="000000"/>
                <w:lang w:eastAsia="ru-RU"/>
              </w:rPr>
              <w:t>ასაკი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proofErr w:type="spellStart"/>
            <w:r w:rsidRPr="00C5002C">
              <w:rPr>
                <w:rFonts w:ascii="Sylfaen" w:eastAsia="Times New Roman" w:hAnsi="Sylfaen"/>
                <w:color w:val="000000"/>
                <w:lang w:eastAsia="ru-RU"/>
              </w:rPr>
              <w:t>შემთხვევათა</w:t>
            </w:r>
            <w:proofErr w:type="spellEnd"/>
          </w:p>
          <w:p w:rsidR="00805787" w:rsidRPr="00C5002C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 w:rsidRPr="00C5002C">
              <w:rPr>
                <w:rFonts w:ascii="Sylfaen" w:eastAsia="Times New Roman" w:hAnsi="Sylfaen"/>
                <w:color w:val="000000"/>
                <w:lang w:eastAsia="ru-RU"/>
              </w:rPr>
              <w:t>რ-</w:t>
            </w:r>
            <w:proofErr w:type="spellStart"/>
            <w:r w:rsidRPr="00C5002C">
              <w:rPr>
                <w:rFonts w:ascii="Sylfaen" w:eastAsia="Times New Roman" w:hAnsi="Sylfaen"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ინციდენტობა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 w:rsidRPr="00C5002C">
              <w:rPr>
                <w:rFonts w:ascii="Sylfaen" w:eastAsia="Times New Roman" w:hAnsi="Sylfaen"/>
                <w:color w:val="000000"/>
                <w:lang w:eastAsia="ru-RU"/>
              </w:rPr>
              <w:t>%</w:t>
            </w:r>
          </w:p>
        </w:tc>
      </w:tr>
      <w:tr w:rsidR="00805787" w:rsidRPr="00C5002C" w:rsidTr="00003B2A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F62DFE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1627C9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val="en-US" w:eastAsia="ru-RU"/>
              </w:rPr>
              <w:t>7</w:t>
            </w:r>
          </w:p>
        </w:tc>
      </w:tr>
      <w:tr w:rsidR="00805787" w:rsidRPr="00C5002C" w:rsidTr="00003B2A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764FE6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C333C3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val="en-US" w:eastAsia="ru-RU"/>
              </w:rPr>
              <w:t>0</w:t>
            </w:r>
          </w:p>
        </w:tc>
      </w:tr>
      <w:tr w:rsidR="00805787" w:rsidRPr="00C5002C" w:rsidTr="00003B2A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1F690C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F62DFE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val="en-US" w:eastAsia="ru-RU"/>
              </w:rPr>
              <w:t>9</w:t>
            </w:r>
          </w:p>
        </w:tc>
      </w:tr>
      <w:tr w:rsidR="00805787" w:rsidRPr="00C5002C" w:rsidTr="00003B2A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lastRenderedPageBreak/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A47681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805787" w:rsidRPr="00C5002C" w:rsidTr="00003B2A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764FE6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4F685D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eastAsia="Times New Roman"/>
                <w:color w:val="000000"/>
                <w:lang w:val="en-US" w:eastAsia="ru-RU"/>
              </w:rPr>
              <w:t>2</w:t>
            </w:r>
          </w:p>
        </w:tc>
      </w:tr>
      <w:tr w:rsidR="00805787" w:rsidRPr="00C5002C" w:rsidTr="00003B2A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395478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4F685D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val="en-US" w:eastAsia="ru-RU"/>
              </w:rPr>
              <w:t>6</w:t>
            </w:r>
          </w:p>
        </w:tc>
      </w:tr>
      <w:tr w:rsidR="00805787" w:rsidRPr="00C5002C" w:rsidTr="00003B2A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1627C9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805787" w:rsidRPr="00C5002C" w:rsidTr="00003B2A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rPr>
                <w:rFonts w:ascii="Sylfaen" w:eastAsia="Times New Roman" w:hAnsi="Sylfaen"/>
                <w:color w:val="000000"/>
                <w:lang w:eastAsia="ru-RU"/>
              </w:rPr>
            </w:pPr>
            <w:proofErr w:type="spellStart"/>
            <w:r w:rsidRPr="00C5002C">
              <w:rPr>
                <w:rFonts w:ascii="Sylfaen" w:eastAsia="Times New Roman" w:hAnsi="Sylfaen"/>
                <w:color w:val="000000"/>
                <w:lang w:eastAsia="ru-RU"/>
              </w:rPr>
              <w:t>სულ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787" w:rsidRPr="00D11380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  <w:r>
              <w:rPr>
                <w:rFonts w:eastAsia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05787" w:rsidRPr="008C7210" w:rsidRDefault="00805787" w:rsidP="00003B2A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9,09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87" w:rsidRPr="00C5002C" w:rsidRDefault="00805787" w:rsidP="00003B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002C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</w:tbl>
    <w:p w:rsidR="00805787" w:rsidRDefault="00805787" w:rsidP="008F66A8">
      <w:pPr>
        <w:jc w:val="both"/>
        <w:rPr>
          <w:rFonts w:ascii="Sylfaen" w:hAnsi="Sylfaen"/>
          <w:b/>
          <w:lang w:val="ka-GE"/>
        </w:rPr>
      </w:pPr>
    </w:p>
    <w:p w:rsidR="00521621" w:rsidRDefault="00E30967" w:rsidP="008F66A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</w:t>
      </w:r>
      <w:r w:rsidR="00521621">
        <w:rPr>
          <w:rFonts w:ascii="Sylfaen" w:hAnsi="Sylfaen"/>
          <w:lang w:val="ka-GE"/>
        </w:rPr>
        <w:t>ხვევათა დეტალური ანალიზით, ირკვევა</w:t>
      </w:r>
      <w:r>
        <w:rPr>
          <w:rFonts w:ascii="Sylfaen" w:hAnsi="Sylfaen"/>
          <w:lang w:val="ka-GE"/>
        </w:rPr>
        <w:t xml:space="preserve"> რომ 90%-ზე მეტ შემთხვევაში დაავადებულები არიან აუცრელები ან მათი აცრის სტატუსი არ ირკვევა.</w:t>
      </w:r>
    </w:p>
    <w:p w:rsidR="009504E1" w:rsidRDefault="009504E1" w:rsidP="008F66A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მეორეს მხრივ, ცალკეული კვლევებით დადგენილია, რომ 41 წლის ასაკამდე მოსახლეობის გარკვეულ ნაწილს არ აქვს წითელას საწინააღმდეგო </w:t>
      </w:r>
      <w:r w:rsidR="00B75775">
        <w:rPr>
          <w:rFonts w:ascii="Sylfaen" w:hAnsi="Sylfaen"/>
          <w:lang w:val="ka-GE"/>
        </w:rPr>
        <w:t>იმუნიტეტი</w:t>
      </w:r>
      <w:r w:rsidR="00EE6818">
        <w:rPr>
          <w:rFonts w:ascii="Sylfaen" w:hAnsi="Sylfaen"/>
          <w:lang w:val="ka-GE"/>
        </w:rPr>
        <w:t>,</w:t>
      </w:r>
      <w:r w:rsidR="00B75775">
        <w:rPr>
          <w:rFonts w:ascii="Sylfaen" w:hAnsi="Sylfaen"/>
          <w:lang w:val="ka-GE"/>
        </w:rPr>
        <w:t xml:space="preserve"> მ.შ. 20 წლის ზემო ასაკში. 1 და 5 წლის ასაკში წითელას საწინააღმდეგო იმუნიზაციის </w:t>
      </w:r>
      <w:r w:rsidR="000F14F3">
        <w:rPr>
          <w:rFonts w:ascii="Sylfaen" w:hAnsi="Sylfaen"/>
          <w:lang w:val="ka-GE"/>
        </w:rPr>
        <w:t xml:space="preserve">დადგენილი წესის მიუხედავად, </w:t>
      </w:r>
      <w:r w:rsidR="00EE6818">
        <w:rPr>
          <w:rFonts w:ascii="Sylfaen" w:hAnsi="Sylfaen"/>
          <w:lang w:val="ka-GE"/>
        </w:rPr>
        <w:t xml:space="preserve">ამ ასაკის </w:t>
      </w:r>
      <w:r w:rsidR="00D12652">
        <w:rPr>
          <w:rFonts w:ascii="Sylfaen" w:hAnsi="Sylfaen"/>
          <w:lang w:val="ka-GE"/>
        </w:rPr>
        <w:t>დაავადებულთა 95% არაა იმუნიზებული.</w:t>
      </w:r>
    </w:p>
    <w:p w:rsidR="00F83C16" w:rsidRPr="00BA73BA" w:rsidRDefault="003E54D6" w:rsidP="00BA73BA">
      <w:pPr>
        <w:tabs>
          <w:tab w:val="num" w:pos="720"/>
        </w:tabs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მნიშვნელოვანია, ჯანდაცვის ყველა მუშაკი იმუნიზებული იყოს წითელას წინააღმდეგ, რადგან საყოველთაოდ</w:t>
      </w:r>
      <w:r w:rsidR="00505EE8">
        <w:rPr>
          <w:rFonts w:ascii="Sylfaen" w:hAnsi="Sylfaen"/>
          <w:lang w:val="ka-GE"/>
        </w:rPr>
        <w:t xml:space="preserve"> ცნობილია</w:t>
      </w:r>
      <w:r w:rsidR="003D2BA3">
        <w:rPr>
          <w:rFonts w:ascii="Sylfaen" w:hAnsi="Sylfaen"/>
          <w:lang w:val="ka-GE"/>
        </w:rPr>
        <w:t xml:space="preserve">, </w:t>
      </w:r>
      <w:r w:rsidR="00505EE8">
        <w:rPr>
          <w:rFonts w:ascii="Sylfaen" w:hAnsi="Sylfaen"/>
          <w:lang w:val="ka-GE"/>
        </w:rPr>
        <w:t>რომ მათი დაავადების რისკი არის მაღალი (2-19-ჯერ) და ხშირად თ</w:t>
      </w:r>
      <w:r w:rsidR="003D2BA3">
        <w:rPr>
          <w:rFonts w:ascii="Sylfaen" w:hAnsi="Sylfaen"/>
          <w:lang w:val="ka-GE"/>
        </w:rPr>
        <w:t>ვ</w:t>
      </w:r>
      <w:r w:rsidR="00505EE8">
        <w:rPr>
          <w:rFonts w:ascii="Sylfaen" w:hAnsi="Sylfaen"/>
          <w:lang w:val="ka-GE"/>
        </w:rPr>
        <w:t xml:space="preserve">ითონ </w:t>
      </w:r>
      <w:r w:rsidR="00505EE8">
        <w:rPr>
          <w:rFonts w:ascii="Sylfaen" w:hAnsi="Sylfaen"/>
          <w:lang w:val="ka-GE"/>
        </w:rPr>
        <w:lastRenderedPageBreak/>
        <w:t xml:space="preserve">ხდებიან დაავადების პოტენციური გამავრცელებლები. კერძოდ, </w:t>
      </w:r>
      <w:r w:rsidR="00A83196" w:rsidRPr="00BA73BA">
        <w:rPr>
          <w:rFonts w:ascii="Sylfaen" w:hAnsi="Sylfaen"/>
          <w:lang w:val="ka-GE"/>
        </w:rPr>
        <w:t>2013-2014 წლებში საქართველოში</w:t>
      </w:r>
      <w:r w:rsidR="00BA73BA">
        <w:rPr>
          <w:rFonts w:ascii="Sylfaen" w:hAnsi="Sylfaen"/>
          <w:lang w:val="ka-GE"/>
        </w:rPr>
        <w:t xml:space="preserve"> წითელას აფეთქების დროს დაავადდა</w:t>
      </w:r>
      <w:r w:rsidR="00A83196" w:rsidRPr="00BA73BA">
        <w:rPr>
          <w:rFonts w:ascii="Sylfaen" w:hAnsi="Sylfaen"/>
          <w:lang w:val="ka-GE"/>
        </w:rPr>
        <w:t xml:space="preserve"> 209 სამედიცინო პერსონალი და 41 სამედიცინო და საექთნო სასწავლებლების სტუდენტ</w:t>
      </w:r>
      <w:r w:rsidR="00BA73BA">
        <w:rPr>
          <w:rFonts w:ascii="Sylfaen" w:hAnsi="Sylfaen"/>
          <w:lang w:val="ka-GE"/>
        </w:rPr>
        <w:t>ი</w:t>
      </w:r>
      <w:r w:rsidR="00A83196" w:rsidRPr="00BA73BA">
        <w:rPr>
          <w:rFonts w:ascii="Sylfaen" w:hAnsi="Sylfaen"/>
          <w:lang w:val="ka-GE"/>
        </w:rPr>
        <w:t xml:space="preserve"> </w:t>
      </w:r>
      <w:r w:rsidR="00BA73BA">
        <w:rPr>
          <w:rFonts w:ascii="Sylfaen" w:hAnsi="Sylfaen"/>
          <w:lang w:val="ka-GE"/>
        </w:rPr>
        <w:t>(</w:t>
      </w:r>
      <w:r w:rsidR="00A83196" w:rsidRPr="00BA73BA">
        <w:rPr>
          <w:rFonts w:ascii="Sylfaen" w:hAnsi="Sylfaen"/>
          <w:lang w:val="ka-GE"/>
        </w:rPr>
        <w:t>ასოცირებული იყო ვიზიტთან სამედიცინო დაწესებულებაში</w:t>
      </w:r>
      <w:r w:rsidR="00BA73BA">
        <w:rPr>
          <w:rFonts w:ascii="Sylfaen" w:hAnsi="Sylfaen"/>
          <w:lang w:val="ka-GE"/>
        </w:rPr>
        <w:t>)</w:t>
      </w:r>
      <w:r w:rsidR="00A83196" w:rsidRPr="00BA73BA">
        <w:rPr>
          <w:rFonts w:ascii="Sylfaen" w:hAnsi="Sylfaen"/>
          <w:lang w:val="ka-GE"/>
        </w:rPr>
        <w:t>;</w:t>
      </w:r>
      <w:r w:rsidR="00BA73BA">
        <w:rPr>
          <w:rFonts w:ascii="Sylfaen" w:hAnsi="Sylfaen"/>
          <w:lang w:val="ka-GE"/>
        </w:rPr>
        <w:t xml:space="preserve"> სამედიცინო დაწესებულებაში </w:t>
      </w:r>
      <w:r w:rsidR="00A83196" w:rsidRPr="00BA73BA">
        <w:rPr>
          <w:rFonts w:ascii="Sylfaen" w:hAnsi="Sylfaen"/>
          <w:lang w:val="ka-GE"/>
        </w:rPr>
        <w:t xml:space="preserve">ნოზოკომიური გადაცემის </w:t>
      </w:r>
      <w:r w:rsidR="00BA73BA">
        <w:rPr>
          <w:rFonts w:ascii="Sylfaen" w:hAnsi="Sylfaen"/>
          <w:lang w:val="ka-GE"/>
        </w:rPr>
        <w:t xml:space="preserve">გამო </w:t>
      </w:r>
      <w:r w:rsidR="00A83196" w:rsidRPr="00BA73BA">
        <w:rPr>
          <w:rFonts w:ascii="Sylfaen" w:hAnsi="Sylfaen"/>
          <w:lang w:val="ka-GE"/>
        </w:rPr>
        <w:t xml:space="preserve">დამატებით </w:t>
      </w:r>
      <w:r w:rsidR="002A56BC">
        <w:rPr>
          <w:rFonts w:ascii="Sylfaen" w:hAnsi="Sylfaen"/>
          <w:lang w:val="ka-GE"/>
        </w:rPr>
        <w:t xml:space="preserve">დაავადდა </w:t>
      </w:r>
      <w:r w:rsidR="00A83196" w:rsidRPr="00BA73BA">
        <w:rPr>
          <w:rFonts w:ascii="Sylfaen" w:hAnsi="Sylfaen"/>
          <w:lang w:val="ka-GE"/>
        </w:rPr>
        <w:t>123 შემთხვევა</w:t>
      </w:r>
      <w:r w:rsidR="002A56BC">
        <w:rPr>
          <w:rFonts w:ascii="Sylfaen" w:hAnsi="Sylfaen"/>
          <w:lang w:val="ka-GE"/>
        </w:rPr>
        <w:t>,</w:t>
      </w:r>
      <w:r w:rsidR="00A83196" w:rsidRPr="00BA73BA">
        <w:rPr>
          <w:rFonts w:ascii="Sylfaen" w:hAnsi="Sylfaen"/>
          <w:lang w:val="ka-GE"/>
        </w:rPr>
        <w:t xml:space="preserve"> რომელთაც წარმოქმნეს 30 კლასტერი და 53 შემთხვევა;</w:t>
      </w:r>
    </w:p>
    <w:p w:rsidR="00F83C16" w:rsidRPr="00BA73BA" w:rsidRDefault="00A83196" w:rsidP="002A56BC">
      <w:pPr>
        <w:jc w:val="both"/>
        <w:rPr>
          <w:rFonts w:ascii="Sylfaen" w:hAnsi="Sylfaen"/>
          <w:lang w:val="en-US"/>
        </w:rPr>
      </w:pPr>
      <w:r w:rsidRPr="00BA73BA">
        <w:rPr>
          <w:rFonts w:ascii="Sylfaen" w:hAnsi="Sylfaen"/>
          <w:lang w:val="ka-GE"/>
        </w:rPr>
        <w:t xml:space="preserve">2017 წელს: გურიაში 16 შემთხვევიდან 13 დაინფიცირდა სამედიცინო დაწესებულებაში </w:t>
      </w:r>
      <w:r w:rsidR="003D2BA3">
        <w:rPr>
          <w:rFonts w:ascii="Sylfaen" w:hAnsi="Sylfaen"/>
          <w:lang w:val="ka-GE"/>
        </w:rPr>
        <w:t>(</w:t>
      </w:r>
      <w:r w:rsidRPr="00BA73BA">
        <w:rPr>
          <w:rFonts w:ascii="Sylfaen" w:hAnsi="Sylfaen"/>
          <w:lang w:val="ka-GE"/>
        </w:rPr>
        <w:t>მ.შ. 3 - სამედიცინო პერსონალი</w:t>
      </w:r>
      <w:r w:rsidR="003D2BA3">
        <w:rPr>
          <w:rFonts w:ascii="Sylfaen" w:hAnsi="Sylfaen"/>
          <w:lang w:val="ka-GE"/>
        </w:rPr>
        <w:t>)</w:t>
      </w:r>
      <w:r w:rsidRPr="00BA73BA">
        <w:rPr>
          <w:rFonts w:ascii="Sylfaen" w:hAnsi="Sylfaen"/>
          <w:lang w:val="ka-GE"/>
        </w:rPr>
        <w:t>.</w:t>
      </w:r>
      <w:r w:rsidR="002A56BC">
        <w:rPr>
          <w:rFonts w:ascii="Sylfaen" w:hAnsi="Sylfaen"/>
          <w:lang w:val="ka-GE"/>
        </w:rPr>
        <w:t xml:space="preserve"> 2018 წელს დაავადებულთა შორის 14 სამედიცინო პერსონალია.</w:t>
      </w:r>
    </w:p>
    <w:p w:rsidR="003E54D6" w:rsidRPr="00521621" w:rsidRDefault="003E54D6" w:rsidP="008F66A8">
      <w:pPr>
        <w:jc w:val="both"/>
        <w:rPr>
          <w:rFonts w:ascii="Sylfaen" w:hAnsi="Sylfaen"/>
          <w:lang w:val="ka-GE"/>
        </w:rPr>
      </w:pPr>
    </w:p>
    <w:p w:rsidR="00176FE6" w:rsidRDefault="00176FE6" w:rsidP="000604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აფეთქების შეკავების ერთადერთი საშუალება ვაქცინაციაა.</w:t>
      </w:r>
    </w:p>
    <w:p w:rsidR="003E54D6" w:rsidRDefault="003E54D6" w:rsidP="003E54D6">
      <w:pPr>
        <w:jc w:val="both"/>
        <w:rPr>
          <w:rFonts w:ascii="Sylfaen" w:hAnsi="Sylfaen"/>
          <w:sz w:val="24"/>
        </w:rPr>
      </w:pPr>
      <w:proofErr w:type="spellStart"/>
      <w:proofErr w:type="gramStart"/>
      <w:r w:rsidRPr="003806E5">
        <w:rPr>
          <w:rFonts w:ascii="Sylfaen" w:hAnsi="Sylfaen"/>
          <w:sz w:val="24"/>
        </w:rPr>
        <w:lastRenderedPageBreak/>
        <w:t>წითელას</w:t>
      </w:r>
      <w:proofErr w:type="spellEnd"/>
      <w:proofErr w:type="gram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ვაქცინაცია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წარმოადგენს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პრევენციის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საუკეთესო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გზას</w:t>
      </w:r>
      <w:proofErr w:type="spellEnd"/>
      <w:r w:rsidRPr="003806E5">
        <w:rPr>
          <w:rFonts w:ascii="Sylfaen" w:hAnsi="Sylfaen"/>
          <w:sz w:val="24"/>
        </w:rPr>
        <w:t xml:space="preserve">. </w:t>
      </w:r>
      <w:proofErr w:type="spellStart"/>
      <w:proofErr w:type="gramStart"/>
      <w:r w:rsidRPr="003806E5">
        <w:rPr>
          <w:rFonts w:ascii="Sylfaen" w:hAnsi="Sylfaen"/>
          <w:sz w:val="24"/>
        </w:rPr>
        <w:t>გამოყენებული</w:t>
      </w:r>
      <w:proofErr w:type="spellEnd"/>
      <w:proofErr w:type="gram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უნდა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იქნას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ყველა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ბერკეტი</w:t>
      </w:r>
      <w:proofErr w:type="spellEnd"/>
      <w:r w:rsidRPr="003806E5">
        <w:rPr>
          <w:rFonts w:ascii="Sylfaen" w:hAnsi="Sylfaen"/>
          <w:sz w:val="24"/>
        </w:rPr>
        <w:t xml:space="preserve">, </w:t>
      </w:r>
      <w:proofErr w:type="spellStart"/>
      <w:r w:rsidRPr="003806E5">
        <w:rPr>
          <w:rFonts w:ascii="Sylfaen" w:hAnsi="Sylfaen"/>
          <w:sz w:val="24"/>
        </w:rPr>
        <w:t>რათა</w:t>
      </w:r>
      <w:proofErr w:type="spellEnd"/>
      <w:r w:rsidRPr="003806E5">
        <w:rPr>
          <w:rFonts w:ascii="Sylfaen" w:hAnsi="Sylfaen"/>
          <w:sz w:val="24"/>
        </w:rPr>
        <w:t xml:space="preserve">  </w:t>
      </w:r>
      <w:proofErr w:type="spellStart"/>
      <w:r w:rsidRPr="003806E5">
        <w:rPr>
          <w:rFonts w:ascii="Sylfaen" w:hAnsi="Sylfaen"/>
          <w:sz w:val="24"/>
        </w:rPr>
        <w:t>ყველა</w:t>
      </w:r>
      <w:proofErr w:type="spellEnd"/>
      <w:r w:rsidRPr="003806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მოქალაქეს</w:t>
      </w:r>
      <w:r w:rsidRPr="003806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 xml:space="preserve">40 წლის ჩათვლით, </w:t>
      </w:r>
      <w:proofErr w:type="spellStart"/>
      <w:r w:rsidRPr="003806E5">
        <w:rPr>
          <w:rFonts w:ascii="Sylfaen" w:hAnsi="Sylfaen"/>
          <w:sz w:val="24"/>
        </w:rPr>
        <w:t>გააჩნდეს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წითელას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იმუნიზაციის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ისტორიის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დოკუმენტი</w:t>
      </w:r>
      <w:proofErr w:type="spellEnd"/>
      <w:r w:rsidRPr="003806E5">
        <w:rPr>
          <w:rFonts w:ascii="Sylfaen" w:hAnsi="Sylfaen"/>
          <w:sz w:val="24"/>
        </w:rPr>
        <w:t xml:space="preserve">. </w:t>
      </w:r>
      <w:proofErr w:type="spellStart"/>
      <w:proofErr w:type="gramStart"/>
      <w:r w:rsidRPr="003806E5">
        <w:rPr>
          <w:rFonts w:ascii="Sylfaen" w:hAnsi="Sylfaen"/>
          <w:sz w:val="24"/>
        </w:rPr>
        <w:t>თუ</w:t>
      </w:r>
      <w:proofErr w:type="spellEnd"/>
      <w:proofErr w:type="gramEnd"/>
      <w:r w:rsidRPr="003806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მოქალაქეს</w:t>
      </w:r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არ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ექნება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ვაქცინაციის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დოკუმენტური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ისტორია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მაშინ</w:t>
      </w:r>
      <w:proofErr w:type="spellEnd"/>
      <w:r w:rsidRPr="003806E5">
        <w:rPr>
          <w:rFonts w:ascii="Sylfaen" w:hAnsi="Sylfaen"/>
          <w:sz w:val="24"/>
        </w:rPr>
        <w:t xml:space="preserve">, </w:t>
      </w:r>
      <w:proofErr w:type="spellStart"/>
      <w:r w:rsidRPr="003806E5">
        <w:rPr>
          <w:rFonts w:ascii="Sylfaen" w:hAnsi="Sylfaen"/>
          <w:sz w:val="24"/>
        </w:rPr>
        <w:t>უნდა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მოხდეს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მისი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ვაქცინაცია</w:t>
      </w:r>
      <w:proofErr w:type="spellEnd"/>
      <w:r w:rsidRPr="003806E5">
        <w:rPr>
          <w:rFonts w:ascii="Sylfaen" w:hAnsi="Sylfaen"/>
          <w:sz w:val="24"/>
        </w:rPr>
        <w:t xml:space="preserve">. </w:t>
      </w:r>
      <w:proofErr w:type="spellStart"/>
      <w:r w:rsidRPr="003806E5">
        <w:rPr>
          <w:rFonts w:ascii="Sylfaen" w:hAnsi="Sylfaen"/>
          <w:sz w:val="24"/>
        </w:rPr>
        <w:t>საჭიროა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წითელას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ორჯერადი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ვაქცინაციით</w:t>
      </w:r>
      <w:proofErr w:type="spellEnd"/>
      <w:r w:rsidRPr="003806E5">
        <w:rPr>
          <w:rFonts w:ascii="Sylfaen" w:hAnsi="Sylfaen"/>
          <w:sz w:val="24"/>
        </w:rPr>
        <w:t xml:space="preserve"> </w:t>
      </w:r>
      <w:r w:rsidR="00D129DE">
        <w:rPr>
          <w:rFonts w:ascii="Sylfaen" w:hAnsi="Sylfaen"/>
          <w:sz w:val="24"/>
          <w:lang w:val="ka-GE"/>
        </w:rPr>
        <w:t xml:space="preserve">5 წლის ასაკის </w:t>
      </w:r>
      <w:proofErr w:type="spellStart"/>
      <w:r w:rsidRPr="003806E5">
        <w:rPr>
          <w:rFonts w:ascii="Sylfaen" w:hAnsi="Sylfaen"/>
          <w:sz w:val="24"/>
        </w:rPr>
        <w:t>პოპულაციის</w:t>
      </w:r>
      <w:proofErr w:type="spellEnd"/>
      <w:r w:rsidRPr="003806E5">
        <w:rPr>
          <w:rFonts w:ascii="Sylfaen" w:hAnsi="Sylfaen"/>
          <w:sz w:val="24"/>
        </w:rPr>
        <w:t xml:space="preserve"> 95 % </w:t>
      </w:r>
      <w:proofErr w:type="spellStart"/>
      <w:r w:rsidRPr="003806E5">
        <w:rPr>
          <w:rFonts w:ascii="Sylfaen" w:hAnsi="Sylfaen"/>
          <w:sz w:val="24"/>
        </w:rPr>
        <w:t>მოცვა</w:t>
      </w:r>
      <w:proofErr w:type="spellEnd"/>
      <w:r w:rsidRPr="003806E5">
        <w:rPr>
          <w:rFonts w:ascii="Sylfaen" w:hAnsi="Sylfaen"/>
          <w:sz w:val="24"/>
        </w:rPr>
        <w:t xml:space="preserve">, </w:t>
      </w:r>
      <w:proofErr w:type="spellStart"/>
      <w:r w:rsidRPr="003806E5">
        <w:rPr>
          <w:rFonts w:ascii="Sylfaen" w:hAnsi="Sylfaen"/>
          <w:sz w:val="24"/>
        </w:rPr>
        <w:t>რათა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შეწყდეს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წითელას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ვირუსის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ცირკულაცია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და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არ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მოხდეს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მისი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ხელახალი</w:t>
      </w:r>
      <w:proofErr w:type="spellEnd"/>
      <w:r w:rsidRPr="003806E5">
        <w:rPr>
          <w:rFonts w:ascii="Sylfaen" w:hAnsi="Sylfaen"/>
          <w:sz w:val="24"/>
        </w:rPr>
        <w:t xml:space="preserve"> </w:t>
      </w:r>
      <w:proofErr w:type="spellStart"/>
      <w:r w:rsidRPr="003806E5">
        <w:rPr>
          <w:rFonts w:ascii="Sylfaen" w:hAnsi="Sylfaen"/>
          <w:sz w:val="24"/>
        </w:rPr>
        <w:t>გავრცელება</w:t>
      </w:r>
      <w:proofErr w:type="spellEnd"/>
      <w:r w:rsidRPr="003806E5">
        <w:rPr>
          <w:rFonts w:ascii="Sylfaen" w:hAnsi="Sylfaen"/>
          <w:sz w:val="24"/>
        </w:rPr>
        <w:t xml:space="preserve">. </w:t>
      </w:r>
    </w:p>
    <w:p w:rsidR="00D129DE" w:rsidRPr="00D129DE" w:rsidRDefault="00D129DE" w:rsidP="003E54D6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გადაუდებელ ღონისძიებათა შორის ტარდება კონტაქტირებულთა და 40 წლის ჩათვლით არაიმუნიზირებულთა </w:t>
      </w:r>
      <w:r w:rsidR="00CE1DCE">
        <w:rPr>
          <w:rFonts w:ascii="Sylfaen" w:hAnsi="Sylfaen"/>
          <w:sz w:val="24"/>
          <w:lang w:val="ka-GE"/>
        </w:rPr>
        <w:t xml:space="preserve">ვაქცინაცია და ამჟამად </w:t>
      </w:r>
      <w:r w:rsidR="00A83196">
        <w:rPr>
          <w:rFonts w:ascii="Sylfaen" w:hAnsi="Sylfaen"/>
          <w:sz w:val="24"/>
          <w:lang w:val="ka-GE"/>
        </w:rPr>
        <w:t xml:space="preserve">(23 თებერვლის მდგომარეობით) </w:t>
      </w:r>
      <w:r w:rsidR="00AB1714">
        <w:rPr>
          <w:rFonts w:ascii="Sylfaen" w:hAnsi="Sylfaen"/>
          <w:sz w:val="24"/>
          <w:lang w:val="ka-GE"/>
        </w:rPr>
        <w:t xml:space="preserve">დამატებით იმუნიზებულია </w:t>
      </w:r>
      <w:r w:rsidR="00CE1DCE" w:rsidRPr="00AB1714">
        <w:rPr>
          <w:rFonts w:ascii="Sylfaen" w:hAnsi="Sylfaen"/>
          <w:b/>
          <w:sz w:val="24"/>
          <w:lang w:val="ka-GE"/>
        </w:rPr>
        <w:t xml:space="preserve">აჭარაში 3369, სამეგრელოში 80, </w:t>
      </w:r>
      <w:r w:rsidR="00CE1DCE" w:rsidRPr="00AB1714">
        <w:rPr>
          <w:rFonts w:ascii="Sylfaen" w:hAnsi="Sylfaen"/>
          <w:b/>
          <w:sz w:val="24"/>
          <w:lang w:val="ka-GE"/>
        </w:rPr>
        <w:lastRenderedPageBreak/>
        <w:t>იმერეთში 1050</w:t>
      </w:r>
      <w:r w:rsidR="00CE1DCE">
        <w:rPr>
          <w:rFonts w:ascii="Sylfaen" w:hAnsi="Sylfaen"/>
          <w:sz w:val="24"/>
          <w:lang w:val="ka-GE"/>
        </w:rPr>
        <w:t xml:space="preserve">, თბილისში 2025 41 წლის ასაკამდე </w:t>
      </w:r>
      <w:r w:rsidR="00AB1714">
        <w:rPr>
          <w:rFonts w:ascii="Sylfaen" w:hAnsi="Sylfaen"/>
          <w:sz w:val="24"/>
          <w:lang w:val="ka-GE"/>
        </w:rPr>
        <w:t xml:space="preserve">არაიმუნიზირებული </w:t>
      </w:r>
      <w:r w:rsidR="00CE1DCE">
        <w:rPr>
          <w:rFonts w:ascii="Sylfaen" w:hAnsi="Sylfaen"/>
          <w:sz w:val="24"/>
          <w:lang w:val="ka-GE"/>
        </w:rPr>
        <w:t>პირი და კონტაქტირებული.</w:t>
      </w:r>
    </w:p>
    <w:p w:rsidR="003E54D6" w:rsidRDefault="003E54D6" w:rsidP="00060406">
      <w:pPr>
        <w:jc w:val="both"/>
        <w:rPr>
          <w:rFonts w:ascii="Sylfaen" w:hAnsi="Sylfaen"/>
          <w:lang w:val="ka-GE"/>
        </w:rPr>
      </w:pPr>
    </w:p>
    <w:p w:rsidR="00C90CDC" w:rsidRDefault="00C90CDC" w:rsidP="00060406">
      <w:pPr>
        <w:jc w:val="both"/>
        <w:rPr>
          <w:rFonts w:ascii="Sylfaen" w:hAnsi="Sylfaen"/>
          <w:lang w:val="ka-GE"/>
        </w:rPr>
      </w:pPr>
    </w:p>
    <w:p w:rsidR="000977CC" w:rsidRDefault="000977CC" w:rsidP="00060406">
      <w:pPr>
        <w:jc w:val="both"/>
        <w:rPr>
          <w:rFonts w:ascii="Sylfaen" w:hAnsi="Sylfaen"/>
          <w:lang w:val="ka-GE"/>
        </w:rPr>
      </w:pPr>
    </w:p>
    <w:p w:rsidR="00676283" w:rsidRDefault="000B1D00"/>
    <w:sectPr w:rsidR="00676283" w:rsidSect="005D2D57">
      <w:pgSz w:w="12240" w:h="15840"/>
      <w:pgMar w:top="1340" w:right="1140" w:bottom="1780" w:left="1320" w:header="0" w:footer="159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D2962"/>
    <w:multiLevelType w:val="hybridMultilevel"/>
    <w:tmpl w:val="8B500266"/>
    <w:lvl w:ilvl="0" w:tplc="4E5A4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A7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C5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AD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A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E3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8E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03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A4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06"/>
    <w:rsid w:val="00060406"/>
    <w:rsid w:val="000977CC"/>
    <w:rsid w:val="000B1D00"/>
    <w:rsid w:val="000F14F3"/>
    <w:rsid w:val="00176FE6"/>
    <w:rsid w:val="002A56BC"/>
    <w:rsid w:val="003D2BA3"/>
    <w:rsid w:val="003E54D6"/>
    <w:rsid w:val="004C1687"/>
    <w:rsid w:val="00505EE8"/>
    <w:rsid w:val="00521621"/>
    <w:rsid w:val="005D2D57"/>
    <w:rsid w:val="0068296F"/>
    <w:rsid w:val="00805787"/>
    <w:rsid w:val="008F66A8"/>
    <w:rsid w:val="00940DF7"/>
    <w:rsid w:val="009504E1"/>
    <w:rsid w:val="00A174C6"/>
    <w:rsid w:val="00A83196"/>
    <w:rsid w:val="00A91EC8"/>
    <w:rsid w:val="00AB1714"/>
    <w:rsid w:val="00B32ADB"/>
    <w:rsid w:val="00B472CB"/>
    <w:rsid w:val="00B75775"/>
    <w:rsid w:val="00BA73BA"/>
    <w:rsid w:val="00C90CDC"/>
    <w:rsid w:val="00CE1DCE"/>
    <w:rsid w:val="00D12652"/>
    <w:rsid w:val="00D129DE"/>
    <w:rsid w:val="00E30967"/>
    <w:rsid w:val="00E358D8"/>
    <w:rsid w:val="00EE6818"/>
    <w:rsid w:val="00F8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1BA9B-6050-41AD-A373-78500371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40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680355059784194"/>
          <c:y val="2.1795713035870516E-2"/>
          <c:w val="0.86773348643919512"/>
          <c:h val="0.819967191601049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FF0000"/>
            </a:solidFill>
            <a:ln w="25399">
              <a:noFill/>
            </a:ln>
          </c:spPr>
          <c:invertIfNegative val="0"/>
          <c:dLbls>
            <c:dLbl>
              <c:idx val="0"/>
              <c:layout>
                <c:manualLayout>
                  <c:x val="-2.1218890680033321E-17"/>
                  <c:y val="1.58730158730158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0-1</c:v>
                </c:pt>
                <c:pt idx="1">
                  <c:v>1-4</c:v>
                </c:pt>
                <c:pt idx="2">
                  <c:v>5-14</c:v>
                </c:pt>
                <c:pt idx="3">
                  <c:v>15-19</c:v>
                </c:pt>
                <c:pt idx="4">
                  <c:v>20-29</c:v>
                </c:pt>
                <c:pt idx="5">
                  <c:v>30-39</c:v>
                </c:pt>
                <c:pt idx="6">
                  <c:v>40+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104.7</c:v>
                </c:pt>
                <c:pt idx="1">
                  <c:v>32.299999999999997</c:v>
                </c:pt>
                <c:pt idx="2">
                  <c:v>14.2</c:v>
                </c:pt>
                <c:pt idx="3">
                  <c:v>5.6</c:v>
                </c:pt>
                <c:pt idx="4">
                  <c:v>14.3</c:v>
                </c:pt>
                <c:pt idx="5">
                  <c:v>10.5</c:v>
                </c:pt>
                <c:pt idx="6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83157904"/>
        <c:axId val="-783150288"/>
      </c:barChart>
      <c:catAx>
        <c:axId val="-7831579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Sylfaen"/>
                    <a:ea typeface="Sylfaen"/>
                    <a:cs typeface="Sylfaen"/>
                  </a:defRPr>
                </a:pPr>
                <a:r>
                  <a:rPr lang="ka-GE"/>
                  <a:t>ასაკობრივი ჯგუფი</a:t>
                </a:r>
              </a:p>
            </c:rich>
          </c:tx>
          <c:layout/>
          <c:overlay val="0"/>
          <c:spPr>
            <a:noFill/>
            <a:ln w="25399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83150288"/>
        <c:crosses val="autoZero"/>
        <c:auto val="1"/>
        <c:lblAlgn val="ctr"/>
        <c:lblOffset val="100"/>
        <c:noMultiLvlLbl val="0"/>
      </c:catAx>
      <c:valAx>
        <c:axId val="-78315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Sylfaen"/>
                    <a:ea typeface="Sylfaen"/>
                    <a:cs typeface="Sylfaen"/>
                  </a:defRPr>
                </a:pPr>
                <a:r>
                  <a:rPr lang="ka-GE"/>
                  <a:t>ინციდენტობა</a:t>
                </a:r>
              </a:p>
            </c:rich>
          </c:tx>
          <c:layout/>
          <c:overlay val="0"/>
          <c:spPr>
            <a:noFill/>
            <a:ln w="25399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83157904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Amiran Gamkrelidze</cp:lastModifiedBy>
  <cp:revision>2</cp:revision>
  <dcterms:created xsi:type="dcterms:W3CDTF">2018-02-28T09:21:00Z</dcterms:created>
  <dcterms:modified xsi:type="dcterms:W3CDTF">2018-02-28T09:21:00Z</dcterms:modified>
</cp:coreProperties>
</file>